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</w:rPr>
      </w:pPr>
      <w:r>
        <w:rPr>
          <w:b/>
          <w:sz w:val="24"/>
        </w:rPr>
        <w:t>Wymagania edukacyjne na poszczególne oceny. Planeta Nowa 6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oparte na Programie nauczania geografii w szkole podstawowej – Planeta Nowa autorstwa Ewy Marii Tuz i Barbary Dziedzic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a-Siatka"/>
        <w:tblW w:w="15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2"/>
        <w:gridCol w:w="3003"/>
        <w:gridCol w:w="3003"/>
        <w:gridCol w:w="3003"/>
        <w:gridCol w:w="3003"/>
      </w:tblGrid>
      <w:tr>
        <w:trPr>
          <w:trHeight w:val="397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>
        <w:trPr>
          <w:trHeight w:val="340" w:hRule="atLeast"/>
        </w:trPr>
        <w:tc>
          <w:tcPr>
            <w:tcW w:w="3002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 ocenę</w:t>
            </w:r>
            <w:r>
              <w:rPr>
                <w:rFonts w:cs="Calibri"/>
                <w:b/>
                <w:sz w:val="18"/>
                <w:szCs w:val="18"/>
              </w:rPr>
              <w:t xml:space="preserve"> celującą</w:t>
            </w:r>
          </w:p>
        </w:tc>
      </w:tr>
      <w:tr>
        <w:trPr>
          <w:trHeight w:val="340" w:hRule="atLeast"/>
        </w:trPr>
        <w:tc>
          <w:tcPr>
            <w:tcW w:w="3002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tcBorders/>
            <w:vAlign w:val="center"/>
          </w:tcPr>
          <w:p>
            <w:pPr>
              <w:pStyle w:val="Normal"/>
              <w:jc w:val="center"/>
              <w:rPr>
                <w:rFonts w:cs="Calibri" w:cstheme="minorHAnsi"/>
                <w:sz w:val="18"/>
              </w:rPr>
            </w:pPr>
            <w:r>
              <w:rPr>
                <w:rFonts w:cs="Calibri" w:cstheme="minorHAnsi"/>
                <w:b/>
                <w:bCs/>
                <w:sz w:val="18"/>
                <w:szCs w:val="17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15014" w:type="dxa"/>
            <w:gridSpan w:val="5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lub na globusie równik, południki 0° i 180° oraz półkule: południową, północną, wschodnią i zachodnią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symbole oznaczające kierunki geograficzne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do czego służą współrzędne geograficzne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południków i równoleżników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wartości południków i równoleżników w miarach kątowych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długość geograficzna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szerokość geograficzna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rozciągłość południkowa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rozciągłość równoleżnikowa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odczytuje szerokość geograficzną i długość geograficzną wybranych punktów na globusie i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odszukuje obiekty na mapie na podstawie podanych współrzędnych geograficznych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położenie matematycznogeograficzne punktów i obszarów na mapie świata i mapie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współrzędne geograficzne na podstawie mapy drogowej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oblicza rozciągłość południkową i rozciągłość równoleżnikową wybranych obszarów na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współrzędne geograficzne punktu, w którym się znajduje, za pomocą aplikacji obsługującej mapy w smartfonie  lub komputerze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wyznacza w terenie współrzędne geograficzne dowolnych punktów za pomocą mapy i odbiornika GPS</w:t>
            </w:r>
          </w:p>
        </w:tc>
      </w:tr>
      <w:tr>
        <w:trPr>
          <w:trHeight w:val="340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rodzaje ciał niebieskich znajdujących się w Układzie Słonecznym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wymienia planety Układu Słonecznego w kolejności od znajdującej się najbliżej Słońca do tej, która jest położona najdalej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czym polega ruch obrotowy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górowanie Słońca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czas trwania ruchu obrotowego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demonstruje ruch obrotowy Ziemi przy użyciu modeli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czym polega ruch obiegowy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demonstruje ruch obiegowy Ziemi przy użyciu modeli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daty rozpoczęcia astronomicznych pór roku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globusie i mapie strefy oświetlenia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gwiazda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planeta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planetoida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meteor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meteoryt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kometa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różnicę między gwiazdą a planetą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ruchu obrotowego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występowanie dnia i nocy jako głównego następstwo ruchu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obrotowego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cechy ruchu obiegowego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strefy oświetlenia Ziemi i wskazuje ich granice na mapie lub globusie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rodzaje ciał niebieskich przedstawionych na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dzienną wędrówkę Słońca po niebie, posługując się ilustracją lub planszą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wędrówkę Słońca po niebie w różnych porach roku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przebieg linii zmiany daty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zmiany w oświetleniu Ziemi w pierwszych dniach astronomicznych pór roku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następstwa ruchu obiegowego Ziemi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na jakiej podstawie wyróżnia się strefy oświetlenia Ziemi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budowę Układu Słonecznego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zależność między kątem padania promieni słonecznych a długością cienia gnomonu lub drzewa na podstawie ilustracji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różnicę między czasem strefowym a czasem słonecznym na kuli ziemskiej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przyczyny występowania dnia polarnego i nocy polarnej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czas strefowy na podstawie mapy stref czasowych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wykazuje związek między położeniem geograficznym obszaru a wysokością górowania Słońca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wykazuje związek między ruchem obiegowym Ziemi a strefami jej oświetlenia oraz strefowym zróżnicowaniem klimatów i krajobrazów na Ziemi</w:t>
            </w:r>
          </w:p>
        </w:tc>
      </w:tr>
      <w:tr>
        <w:trPr>
          <w:trHeight w:val="340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określa położenie Europy na mapie świata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nazwy większych mórz, zatok, cieśnin i wysp Europy i wskazuje je na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przebieg umownej granicy między Europą a Azją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elementy krajobrazu Islandii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strefy klimatyczne w Europie na podstawie mapy klimatycznej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obszary w Europie o cechach klimatu morskiego i kontynentalnego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liczbę państw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politycznej największe i najmniejsze państwa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wpływające na rozmieszczenie ludności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gęstość zaludnienia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rozmieszczenia ludności obszary o dużej i małej gęstości zaludnienia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starzejące się kraje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Paryż i Londyn na mapie Europy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przebieg umownej granicy między Europą a Azją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decydujące o długości linii brzegowej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największe krainy geograficzne Europy i wskazuje je na mapie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położenie geograficzne Islandii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18"/>
                <w:szCs w:val="18"/>
              </w:rPr>
              <w:t>wulkan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magma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erupcja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lawa</w:t>
            </w:r>
            <w:r>
              <w:rPr>
                <w:rFonts w:cs="Calibri" w:cstheme="minorHAnsi"/>
                <w:sz w:val="18"/>
                <w:szCs w:val="18"/>
              </w:rPr>
              <w:t xml:space="preserve">, </w:t>
            </w:r>
            <w:r>
              <w:rPr>
                <w:rFonts w:cs="Calibri" w:cstheme="minorHAnsi"/>
                <w:i/>
                <w:sz w:val="18"/>
                <w:szCs w:val="18"/>
              </w:rPr>
              <w:t>bazalt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kryterium wyróżniania stref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cechy wybranych typów i odmian klimatu Europy na podstawie klimatogramów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i wskazuje na mapie politycznej Europy państwa powstałe na przełomie lat 80. i 90. XX w.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rozmieszczenie ludności w</w:t>
            </w:r>
            <w:r>
              <w:rPr/>
              <w:t xml:space="preserve"> </w:t>
            </w:r>
            <w:r>
              <w:rPr>
                <w:rFonts w:cs="Calibri" w:cstheme="minorHAnsi"/>
                <w:sz w:val="18"/>
                <w:szCs w:val="18"/>
              </w:rPr>
              <w:t>Europie na podstawie mapy rozmieszczenia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liczbę ludności Europy na tle liczby ludności pozostałych kontynentów na podstawie wykresów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przyczyny migracji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kraje imigracyjne i kraje emigracyjne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cechy krajobrazu wielkomiejskiego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i wskazuje na mapie największe miasta Europy i świata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miasta Europy z miastami świata na podstawie wykresów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ukształtowanie powierzchni Europy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opisuje położenie Islandii względem płyt litosfery na podstawie mapy geologicznej 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przykłady obszarów występowania trzęsień ziemi i wybuchów wulkanów na świecie na podstawie mapy geologicznej i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czynniki wpływające na zróżnicowanie klimatyczne Europy na podstawie map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różnice między strefami klimatycznymi, które znajdują się w 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zmiany liczby ludności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strukturę wieku i płci ludności na podstawie piramid wieku i płci ludności wybranych krajów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zalety i wady życia w wielkim mieście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położenie i układ przestrzenny Londynu i Paryża na podstawie map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ukształtowanie powierzchni wschodniej i zachodniej oraz północnej i południowej części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przyczyny występowania gejzerów na Islandii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strefy klimatyczne w Europie i charakterystyczną dla nich roślinność na podstawie klimatogramów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prądów morskich na temperaturę powietrza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omawia wpływ ukształtowania powierzchni na klimat Europy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porównuje piramidy wieku i płci społeczeństw: młodego </w:t>
              <w:br/>
              <w:t>i starzejącego się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korzyści i zagrożenia związane z migracjami ludności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Paryż i Londyn pod względem ich znaczenia na świecie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wpływ działalności lądolodu na ukształtowanie północnej części Europy na podstawie mapy i dodatkowych źródeł informacji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 wpływ położenia na granicy płyt litosfery na występowanie wulkanów i trzęsień ziemi na Islandii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dlaczego w Europie na tej samej szerokości geograficznej występują różne typy i odmiany klimatu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zależności między strefami oświetlenia Ziemi a strefami klimatycznymi na podstawie ilustracji oraz map klimatycznych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rolę Unii Europejskiej w przemianach społecznych i gospodarczych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przyczyny i skutki starzenia się społeczeństw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działania, które można podjąć, aby zmniejszyć tempo starzenia się społeczeństwa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przyczyny nielegalnej imigracji do Europy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ocenia skutki migracji ludności między państwami Europy oraz imigracji ludności z innych kontynentów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ocenia rolę i funkcje Paryża i Londynu jako wielkich metropolii</w:t>
            </w:r>
          </w:p>
        </w:tc>
      </w:tr>
      <w:tr>
        <w:trPr>
          <w:trHeight w:val="340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zadania i funkcje rolnictwa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wyjaśnia znaczenie terminu </w:t>
            </w:r>
            <w:r>
              <w:rPr>
                <w:rFonts w:cs="Calibri" w:cstheme="minorHAnsi"/>
                <w:i/>
                <w:sz w:val="18"/>
                <w:szCs w:val="18"/>
              </w:rPr>
              <w:t>plony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zadania i funkcje przemysłu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znane i cenione na świecie francuskie wyroby przemysłowe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przykłady odnawialnych i nieodnawialnych źródeł energii na podstawie schematu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typy elektrowni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Europy Południowej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atrakcje turystyczne w wybranych krajach Europy Południowej na podstawie mapy tematycznej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rozwoju przemysłu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przykłady działów nowoczesnego przemysłu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czynniki wpływające na strukturę produkcji energii w Europie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główne zalety i wady różnych typów elektrowni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walory kulturowe Europy Południowej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elementy infrastruktury turystycznej na podstawie fotografii oraz tekstów źródłowych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wyjaśnia, czym się charakteryzuje nowoczesny przemysł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omawia zmiany w wykorzystaniu źródeł energii w Europie w XX i XXI w. na podstawie wykresu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Uczeń:• wyjaśnia znaczenie nowoczesnych usług we Francji na podstawie diagramów przedstawiających strukturę zatrudnienia według sektorów oraz strukturę wytwarzania PKB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usługi turystyczne i transportowe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zalety i wady  elektrowni jądrowych</w:t>
            </w:r>
          </w:p>
          <w:p>
            <w:pPr>
              <w:pStyle w:val="ListParagraph"/>
              <w:numPr>
                <w:ilvl w:val="0"/>
                <w:numId w:val="1"/>
              </w:numPr>
              <w:ind w:left="113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omawia skutki wykorzystania różnych źródeł energii dla środowiska geograficznego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rozwoju turystyki na infrastrukturę turystyczną oraz strukturę zatrudnienia w krajach Europy Południowej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rolę i znaczenie nowoczesnego przemysłu i usług we Francji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wpływ warunków środowiska przyrodniczego w wybranych krajach Europy na wykorzystanie różnych źródeł energii</w:t>
            </w:r>
          </w:p>
        </w:tc>
      </w:tr>
      <w:tr>
        <w:trPr>
          <w:trHeight w:val="340" w:hRule="atLeast"/>
        </w:trPr>
        <w:tc>
          <w:tcPr>
            <w:tcW w:w="15014" w:type="dxa"/>
            <w:gridSpan w:val="5"/>
            <w:tcBorders/>
            <w:vAlign w:val="center"/>
          </w:tcPr>
          <w:p>
            <w:pPr>
              <w:pStyle w:val="Normal"/>
              <w:ind w:left="172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>
        <w:trPr/>
        <w:tc>
          <w:tcPr>
            <w:tcW w:w="3002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główne działy przetwórstwa przemysłowego w Niemczech na podstawie diagramu kołowego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Nadrenię Północną-Westfalię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i kulturowe Czech i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atrakcje turystyczne w Czechach i na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walory przyrodnicze Litwy i 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główne atrakcje turystyczne Litwy i 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położenie geograficzne Ukrainy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surowce mineralne Ukrainy na podstawie mapy gospodarczej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największe krainy geograficzne Rosji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wymienia surowce mineralne Rosji 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wskazuje na mapie sąsiadów Polski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przykłady współpracy Polski z sąsiednimi krajami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znaczenie przemysłu w niemieckiej gospodarce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znane i cenione na świecie niemieckie wyroby przemysłowe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rozpoznaje obiekty z Listy światowego dziedzictwa UNESCO w Czechach i na Słowacji na ilustracjach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atrakcje turystyczne Litwy i Białorusi na podstawie mapy tematycznej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wymienia na podstawie mapy cechy środowiska przyrodniczego Ukrainy sprzyjające rozwojowi gospodarki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 xml:space="preserve">wskazuje na mapie obszary, nad którymi Ukraina utraciła kontrolę </w:t>
            </w:r>
            <w:bookmarkStart w:id="0" w:name="_GoBack"/>
            <w:bookmarkEnd w:id="0"/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nazwy euroregionów na podstawie mapy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przyczyny zmian zapoczątkowanych w przemyśle w Niemczech w latach 60. XX w.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strukturę zatrudnienia w przemyśle w Niemczech na podstawie diagramu kołowego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środowisko przyrodnicze Czech i Słowacji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środowisko przyrodnicze Litwy i Białorusi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czynniki wpływające na atrakcyjność turystyczną Litwy i Białorusi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przyczyny zmniejszania się liczby ludności Ukrainy na podstawie wykresu i schematu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cechy środowiska przyrodniczego Rosji na podstawie mapy ogólnogeograficznej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relacje Polski z Rosją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przedstawia główne kierunki zmian przemysłu w Nadrenii Północnej-</w:t>
              <w:br/>
              <w:t>-Westfalii na podstawie mapy i 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nowoczesne przetwórstwo przemysłowe w Nadrenii Północnej-Westfalii na podstawie mapy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cechy środowiska przyrodniczego Czech i Słowacji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przykłady atrakcji turystycznych Czech i Słowacji na podstawie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porównuje walory przyrodnicze Litwy i Białorusi na podstawie mapy ogólnogeograficznej i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podaje przyczyny konfliktów na Ukrainie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opisuje stosunki Polski z sąsiadami na podstawie dodatkowych źródeł</w:t>
            </w:r>
          </w:p>
        </w:tc>
        <w:tc>
          <w:tcPr>
            <w:tcW w:w="3003" w:type="dxa"/>
            <w:tcBorders/>
          </w:tcPr>
          <w:p>
            <w:pPr>
              <w:pStyle w:val="Normal"/>
              <w:spacing w:before="40" w:after="0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Uczeń: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omawia wpływ sektora kreatywnego na gospodarkę Nadrenii Północnej-</w:t>
              <w:br/>
              <w:t>-Westfalii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udowadnia, że Niemcy są światową potęgą gospodarczą na podstawie danych statystycznych oraz map gospodarczych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udowadnia, że Czechy i Słowacja to kraje atrakcyjne pod względem turystycznym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analizuje konsekwencje gospodarcze konfliktów na Ukrainie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charakteryzuje atrakcje turystyczne Ukrainy na podstawie dodatkowych źródeł oraz fotografii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uzasadnia potrzebę utrzymywania dobrych relacji z sąsiadami Polski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• </w:t>
            </w:r>
            <w:r>
              <w:rPr>
                <w:rFonts w:cs="Calibri" w:cstheme="minorHAnsi"/>
                <w:sz w:val="18"/>
                <w:szCs w:val="18"/>
              </w:rPr>
              <w:t>przygotowuje pracę (np. album, plakat, prezentację multimedialną) na temat inicjatyw zrealizowanych w najbliższym euroregionie na podstawie dodatkowych źródeł informacji</w:t>
            </w:r>
          </w:p>
          <w:p>
            <w:pPr>
              <w:pStyle w:val="Normal"/>
              <w:ind w:left="56" w:right="-28" w:hanging="113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907" w:right="907" w:header="0" w:top="907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ind w:left="113" w:right="-57" w:hanging="113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2285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2858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2858"/>
    <w:pPr>
      <w:spacing w:before="0" w:after="0"/>
      <w:ind w:left="720" w:right="-57" w:hanging="113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a65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purl.org/dc/elements/1.1/"/>
    <ds:schemaRef ds:uri="http://schemas.microsoft.com/office/infopath/2007/PartnerControls"/>
    <ds:schemaRef ds:uri="http://purl.org/dc/terms/"/>
    <ds:schemaRef ds:uri="f9d6bc27-f2bd-4049-a395-4b9f275af5c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c03475-987a-401d-8ac4-a8b32058657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LibreOffice/6.4.4.2$Windows_x86 LibreOffice_project/3d775be2011f3886db32dfd395a6a6d1ca2630ff</Application>
  <Pages>4</Pages>
  <Words>1846</Words>
  <Characters>11525</Characters>
  <CharactersWithSpaces>13173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2024-07-29T12:27:00Z</dcterms:created>
  <dc:creator>Dorota Urbaniak</dc:creator>
  <dc:description/>
  <dc:language>pl-PL</dc:language>
  <cp:lastModifiedBy>Magdalena Rudnicka</cp:lastModifiedBy>
  <dcterms:modified xsi:type="dcterms:W3CDTF">2024-07-31T08:37:00Z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0x0101004A3B05668418954B9F9197D20C65EA1C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