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7" w:rsidRPr="002372E7" w:rsidRDefault="002372E7" w:rsidP="002372E7">
      <w:pPr>
        <w:pStyle w:val="Bezodstpw"/>
        <w:jc w:val="center"/>
        <w:rPr>
          <w:sz w:val="36"/>
          <w:szCs w:val="36"/>
        </w:rPr>
      </w:pPr>
      <w:r w:rsidRPr="002372E7">
        <w:rPr>
          <w:sz w:val="36"/>
          <w:szCs w:val="36"/>
        </w:rPr>
        <w:t>BIOLOGIA   Klasa 5.</w:t>
      </w:r>
    </w:p>
    <w:p w:rsidR="002372E7" w:rsidRPr="00E4781B" w:rsidRDefault="002372E7" w:rsidP="002372E7">
      <w:pPr>
        <w:pStyle w:val="Bezodstpw"/>
        <w:jc w:val="center"/>
        <w:rPr>
          <w:sz w:val="36"/>
          <w:szCs w:val="36"/>
        </w:rPr>
      </w:pPr>
      <w:r w:rsidRPr="00E4781B">
        <w:rPr>
          <w:sz w:val="36"/>
          <w:szCs w:val="36"/>
        </w:rPr>
        <w:t>Plan wynikowy</w:t>
      </w:r>
      <w:r w:rsidR="00E4781B" w:rsidRPr="00E4781B">
        <w:rPr>
          <w:rFonts w:ascii="Calibri" w:hAnsi="Calibri" w:cs="AgendaPl Bold"/>
          <w:bCs/>
          <w:sz w:val="32"/>
          <w:szCs w:val="32"/>
        </w:rPr>
        <w:t xml:space="preserve"> -wymagania na poszczególne oceny szkolne.</w:t>
      </w:r>
    </w:p>
    <w:p w:rsidR="002372E7" w:rsidRPr="00E4781B" w:rsidRDefault="002372E7" w:rsidP="002372E7">
      <w:pPr>
        <w:tabs>
          <w:tab w:val="left" w:pos="340"/>
        </w:tabs>
        <w:spacing w:line="440" w:lineRule="atLeast"/>
        <w:jc w:val="both"/>
        <w:rPr>
          <w:rFonts w:cs="AgendaPl Bold"/>
          <w:b/>
          <w:bCs/>
          <w:sz w:val="28"/>
          <w:szCs w:val="28"/>
        </w:rPr>
      </w:pPr>
      <w:r w:rsidRPr="00E4781B">
        <w:rPr>
          <w:rFonts w:cs="AgendaPl Bold"/>
          <w:b/>
          <w:bCs/>
          <w:sz w:val="28"/>
          <w:szCs w:val="28"/>
        </w:rPr>
        <w:t xml:space="preserve"> Nauczyciel uczący: Mariola </w:t>
      </w:r>
      <w:proofErr w:type="spellStart"/>
      <w:r w:rsidRPr="00E4781B">
        <w:rPr>
          <w:rFonts w:cs="AgendaPl Bold"/>
          <w:b/>
          <w:bCs/>
          <w:sz w:val="28"/>
          <w:szCs w:val="28"/>
        </w:rPr>
        <w:t>Miksiewicz</w:t>
      </w:r>
      <w:proofErr w:type="spellEnd"/>
      <w:r w:rsidRPr="00E4781B">
        <w:rPr>
          <w:rFonts w:cs="AgendaPl Bold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2322"/>
        <w:gridCol w:w="2337"/>
        <w:gridCol w:w="2332"/>
        <w:gridCol w:w="2320"/>
        <w:gridCol w:w="2318"/>
        <w:gridCol w:w="2591"/>
      </w:tblGrid>
      <w:tr w:rsidR="002372E7" w:rsidRPr="00EF3D17" w:rsidTr="002372E7">
        <w:tc>
          <w:tcPr>
            <w:tcW w:w="2322" w:type="dxa"/>
            <w:vMerge w:val="restart"/>
            <w:shd w:val="clear" w:color="auto" w:fill="auto"/>
            <w:hideMark/>
          </w:tcPr>
          <w:p w:rsidR="002372E7" w:rsidRPr="00EF3D17" w:rsidRDefault="002372E7" w:rsidP="0063406E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669" w:type="dxa"/>
            <w:gridSpan w:val="2"/>
            <w:shd w:val="clear" w:color="auto" w:fill="auto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229" w:type="dxa"/>
            <w:gridSpan w:val="3"/>
            <w:shd w:val="clear" w:color="auto" w:fill="auto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2372E7" w:rsidRPr="00EF3D17" w:rsidTr="002372E7">
        <w:tc>
          <w:tcPr>
            <w:tcW w:w="0" w:type="auto"/>
            <w:vMerge/>
            <w:vAlign w:val="center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32" w:type="dxa"/>
            <w:hideMark/>
          </w:tcPr>
          <w:p w:rsidR="002372E7" w:rsidRPr="00EF3D17" w:rsidRDefault="002372E7" w:rsidP="0063406E">
            <w:pPr>
              <w:ind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20" w:type="dxa"/>
            <w:hideMark/>
          </w:tcPr>
          <w:p w:rsidR="002372E7" w:rsidRPr="00EF3D17" w:rsidRDefault="002372E7" w:rsidP="0063406E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18" w:type="dxa"/>
            <w:hideMark/>
          </w:tcPr>
          <w:p w:rsidR="002372E7" w:rsidRPr="00EF3D17" w:rsidRDefault="002372E7" w:rsidP="0063406E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591" w:type="dxa"/>
            <w:hideMark/>
          </w:tcPr>
          <w:p w:rsidR="002372E7" w:rsidRPr="00EF3D17" w:rsidRDefault="002372E7" w:rsidP="0063406E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46"/>
        <w:gridCol w:w="2292"/>
        <w:gridCol w:w="65"/>
        <w:gridCol w:w="2254"/>
        <w:gridCol w:w="103"/>
        <w:gridCol w:w="2225"/>
        <w:gridCol w:w="132"/>
        <w:gridCol w:w="2202"/>
        <w:gridCol w:w="156"/>
        <w:gridCol w:w="2434"/>
        <w:gridCol w:w="205"/>
      </w:tblGrid>
      <w:tr w:rsidR="002372E7" w:rsidRPr="00EF3D17" w:rsidTr="002372E7">
        <w:trPr>
          <w:gridAfter w:val="1"/>
          <w:wAfter w:w="205" w:type="dxa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przeprowadzania </w:t>
            </w:r>
            <w:r w:rsidRPr="002372E7">
              <w:rPr>
                <w:rFonts w:ascii="Times New Roman" w:hAnsi="Times New Roman" w:cs="Times New Roman"/>
              </w:rPr>
              <w:t xml:space="preserve"> obserwacji i doświadczeń biologicznych 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przeprowadza samodzielnie zaplanowane doświadczenie i obserwację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podaje przykłady obiektów przyrodniczych, które mogą być przedmiotem obserwacji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mikroskopowych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oblicza powiększenia obrazu oglądanego obiektu uzyskiwane w  mikroskopie  optycznym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określa funkcje poszczególnych elementów budowy mikroskopu optycznego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bCs/>
                <w:sz w:val="22"/>
                <w:szCs w:val="22"/>
                <w:lang w:eastAsia="en-US"/>
              </w:rPr>
              <w:t>dokonuje</w:t>
            </w:r>
            <w:r w:rsidRPr="002372E7">
              <w:rPr>
                <w:rFonts w:eastAsia="Lato-Regular"/>
                <w:sz w:val="22"/>
                <w:szCs w:val="22"/>
                <w:lang w:eastAsia="en-US"/>
              </w:rPr>
              <w:t xml:space="preserve"> samodzielnie </w:t>
            </w:r>
            <w:r w:rsidRPr="002372E7">
              <w:rPr>
                <w:sz w:val="22"/>
                <w:szCs w:val="22"/>
                <w:lang w:eastAsia="en-US"/>
              </w:rPr>
              <w:t xml:space="preserve"> obserwacji mikroskopowej w celu określenia cech obrazu obiektu i jego  </w:t>
            </w:r>
            <w:r w:rsidRPr="002372E7">
              <w:rPr>
                <w:sz w:val="22"/>
                <w:szCs w:val="22"/>
                <w:lang w:eastAsia="en-US"/>
              </w:rPr>
              <w:lastRenderedPageBreak/>
              <w:t>powiększenia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2372E7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21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2372E7" w:rsidRPr="002372E7" w:rsidRDefault="002372E7" w:rsidP="0063406E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2372E7" w:rsidRPr="00EF3D17" w:rsidTr="002372E7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t>5. Budowa komórki zwierzęcej</w:t>
            </w:r>
          </w:p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określa, co to jest komórka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wymienia podstawowe elementy budowy komórki zwierzęcej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rozpoznaje podstawowe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elementy budowy komórki zwierzęcej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(pod mikroskopem, na schemacie, na zdjęciu lub na podstawie opisu) </w:t>
            </w:r>
          </w:p>
          <w:p w:rsidR="002372E7" w:rsidRPr="002372E7" w:rsidRDefault="002372E7" w:rsidP="0063406E">
            <w:pPr>
              <w:pStyle w:val="tabela-tekstpodstawowykropatabele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podaje przykłady komórek zwierzęcych budujących organizmy oraz ich funkcje w organizmie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porównuje budowę komórek zwierzęcych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2372E7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  <w:r w:rsidRPr="002372E7">
              <w:rPr>
                <w:b/>
                <w:sz w:val="22"/>
                <w:szCs w:val="22"/>
              </w:rPr>
              <w:t>Komórka roślinna i</w:t>
            </w:r>
            <w:r w:rsidRPr="002372E7">
              <w:rPr>
                <w:b/>
                <w:sz w:val="22"/>
                <w:szCs w:val="22"/>
                <w:lang w:eastAsia="en-US"/>
              </w:rPr>
              <w:t> </w:t>
            </w:r>
            <w:r w:rsidRPr="002372E7">
              <w:rPr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odróżnia  komórkę </w:t>
            </w: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 xml:space="preserve">roślinną od komórki zwierzęcej oraz komórki jądrowe od komórek </w:t>
            </w:r>
            <w:proofErr w:type="spellStart"/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określa funkcje podstawowych elementów budowy komórki roślinnej </w:t>
            </w: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i komórki bakteryjnej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rozpoznaje podstawowe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2372E7">
              <w:rPr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2372E7" w:rsidRPr="00EF3D17" w:rsidTr="002372E7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>
              <w:rPr>
                <w:rStyle w:val="FontStyle68"/>
                <w:sz w:val="22"/>
                <w:szCs w:val="22"/>
                <w:lang w:eastAsia="en-US"/>
              </w:rPr>
              <w:t xml:space="preserve">           i sprawdzian z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01653A" w:rsidRDefault="002372E7" w:rsidP="0063406E">
            <w:pPr>
              <w:spacing w:line="240" w:lineRule="auto"/>
              <w:rPr>
                <w:rFonts w:cs="Calibri"/>
              </w:rPr>
            </w:pPr>
          </w:p>
          <w:p w:rsidR="002372E7" w:rsidRPr="00EF3D17" w:rsidRDefault="002372E7" w:rsidP="0063406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01653A">
              <w:rPr>
                <w:rFonts w:cs="Calibri"/>
              </w:rPr>
              <w:t>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20"/>
        <w:gridCol w:w="2325"/>
        <w:gridCol w:w="2306"/>
        <w:gridCol w:w="2314"/>
        <w:gridCol w:w="2318"/>
        <w:gridCol w:w="2637"/>
      </w:tblGrid>
      <w:tr w:rsidR="002372E7" w:rsidRPr="00EF3D17" w:rsidTr="0063406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 ORGANIZMÓW I SYSTEMATYKA ORGANIZMÓW. WIRUSY. BAKTERIE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8. Czynności życiowe organizmów</w:t>
            </w:r>
          </w:p>
          <w:p w:rsidR="002372E7" w:rsidRPr="00EF3D17" w:rsidRDefault="002372E7" w:rsidP="0063406E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na czym polega rozmnażanie się płciowe i bezpłciowe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rodzaje rozmnażania się bezpłciowego (podział, pączkowanie, fragmentację, przez zarodniki)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Odżywianie się organizmów. Fotosynteza</w:t>
            </w:r>
          </w:p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co to jest odżywianie się i jakie jest jego znaczenie w życiu organizmów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samożywność i cudzożywność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dokonuje podziału organizmów cudzożywnych ze względu na rodzaj pobieranego pokarmu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planuje doświadczenie wskazujące na wpływ wybranego czynnika na intensywność fotosyntezy</w:t>
            </w:r>
          </w:p>
          <w:p w:rsidR="002372E7" w:rsidRPr="002372E7" w:rsidRDefault="002372E7" w:rsidP="0063406E">
            <w:pPr>
              <w:pStyle w:val="Akapitzlist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przeprowadza doświadczenie wskazujące na wpływ wybranego czynnika na intensywność fotosyntezy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 znaczenie procesów pozyskiwania energii dla organizmów </w:t>
            </w:r>
            <w:r w:rsidRPr="002372E7">
              <w:rPr>
                <w:rStyle w:val="FontStyle69"/>
                <w:rFonts w:eastAsia="Calibri"/>
                <w:b w:val="0"/>
              </w:rPr>
              <w:lastRenderedPageBreak/>
              <w:t>(oddychanie tlenowe i fermentacja)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określa różnice między oddychaniem komórkowym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a wymianą gazową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podaje przykłady zastosowania fermentacji w przemyśle i gospodarstwie domowym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zapisuje słownie równanie oddychania tlenowego, określając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substraty, produkty oraz warunki przebiegu tego procesu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planuje doświadczenie wykazujące, że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podczas fermentacji drożdże wydzielają dwutlenek węgla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 końcowe produkty fermentacji na podstawie przeprowadzonego doświadczenia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 warunki przebiegu fermentacji 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przeprowadza doświadczenie fermentacji u drożdży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lastRenderedPageBreak/>
              <w:t>porównuje oddychanie tlenowe z fermentacją pod kątem substratów, produktów, ilości uwalnianej energii i lokalizacji w komórce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określa, w jakim celu klasyfikuje się organizmy 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określa, co to jest gatunek</w:t>
            </w:r>
          </w:p>
          <w:p w:rsidR="002372E7" w:rsidRPr="002372E7" w:rsidRDefault="002372E7" w:rsidP="0063406E">
            <w:pPr>
              <w:widowControl w:val="0"/>
              <w:tabs>
                <w:tab w:val="left" w:pos="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2372E7">
              <w:rPr>
                <w:rStyle w:val="FontStyle69"/>
                <w:rFonts w:eastAsia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2372E7" w:rsidRPr="002372E7" w:rsidRDefault="002372E7" w:rsidP="0063406E">
            <w:pPr>
              <w:widowControl w:val="0"/>
              <w:tabs>
                <w:tab w:val="left" w:pos="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12. Systematyka organizmów. Przegląd królestw </w:t>
            </w:r>
          </w:p>
          <w:p w:rsidR="002372E7" w:rsidRPr="00EF3D17" w:rsidRDefault="002372E7" w:rsidP="0063406E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czym zajmuje się systematyka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jednostek systematycznych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zasady systemu klasyfikacji biologicznej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w kolejności główne  jednostki systematyczne królestwa zwierząt i królestwa roślin</w:t>
            </w:r>
          </w:p>
          <w:p w:rsidR="002372E7" w:rsidRPr="002372E7" w:rsidRDefault="002372E7" w:rsidP="0063406E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ogólną charakterystykę każdego z pięciu królestw organizmów, ze wskazaniem na istotne cechy różniące te królestwa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organizmy z 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13. Bakterie i wirusy</w:t>
            </w:r>
          </w:p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znaczenie bakterii w życiu człowieka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podaje przykłady chorób bakteryjnych i wirusowych człowieka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przedstawia znaczenie bakterii w przyrodzie 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określa rozmiary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bakterii i środowisko ich życia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color w:val="auto"/>
                <w:sz w:val="22"/>
                <w:szCs w:val="22"/>
              </w:rPr>
              <w:t>rozróżnia formy komórek bakteryjnych (kuliste, pałeczkowate, przecinkowate i 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przedstawia drogi rozprzestrzeniania się i zasady profilaktyki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chorób bakteryjnych  (gruźlica, borelioza, tężec, salmonelloza) i wirusowych (grypa, ospa, różyczka, świnka, odra, AIDS)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przedstawia czynności życiowe bakterii: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lastRenderedPageBreak/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sposoby odżywiania się bakterii:  cudzożywne (pasożyty, </w:t>
            </w:r>
            <w:proofErr w:type="spellStart"/>
            <w:r w:rsidRPr="002372E7">
              <w:rPr>
                <w:rStyle w:val="FontStyle69"/>
                <w:b w:val="0"/>
                <w:sz w:val="22"/>
                <w:szCs w:val="22"/>
              </w:rPr>
              <w:t>saprotrofy</w:t>
            </w:r>
            <w:proofErr w:type="spellEnd"/>
            <w:r w:rsidRPr="002372E7">
              <w:rPr>
                <w:rStyle w:val="FontStyle69"/>
                <w:b w:val="0"/>
                <w:sz w:val="22"/>
                <w:szCs w:val="22"/>
              </w:rPr>
              <w:t>, symbionty) i samożywne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sposoby oddychania (tlenowe i beztlenowe)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lastRenderedPageBreak/>
              <w:t xml:space="preserve">uzasadnia, dlaczego wirusów nie można zaklasyfikować do </w:t>
            </w:r>
            <w:r w:rsidRPr="002372E7">
              <w:rPr>
                <w:sz w:val="22"/>
                <w:szCs w:val="22"/>
              </w:rPr>
              <w:lastRenderedPageBreak/>
              <w:t>organizmów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wskazuje na związki pomiędzy  środowiskiem życia, czynnościami życiowych i znaczeniem bakterii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2372E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.Podsumowanie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i</w:t>
            </w: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 sprawdzian z działu 2: </w:t>
            </w:r>
            <w:r w:rsidRPr="002372E7">
              <w:rPr>
                <w:b/>
                <w:i/>
                <w:sz w:val="22"/>
                <w:szCs w:val="22"/>
              </w:rPr>
              <w:t>Czynności życiowe organizmów i systematyka organizmów</w:t>
            </w:r>
            <w:r w:rsidRPr="002372E7">
              <w:rPr>
                <w:i/>
                <w:sz w:val="22"/>
                <w:szCs w:val="22"/>
              </w:rPr>
              <w:t xml:space="preserve">. </w:t>
            </w:r>
            <w:r w:rsidRPr="002372E7">
              <w:rPr>
                <w:b/>
                <w:i/>
                <w:sz w:val="22"/>
                <w:szCs w:val="22"/>
              </w:rPr>
              <w:t>Wirusy</w:t>
            </w:r>
            <w:r w:rsidRPr="002372E7">
              <w:rPr>
                <w:i/>
                <w:sz w:val="22"/>
                <w:szCs w:val="22"/>
              </w:rPr>
              <w:t xml:space="preserve">. </w:t>
            </w:r>
            <w:r w:rsidRPr="002372E7">
              <w:rPr>
                <w:b/>
                <w:i/>
                <w:sz w:val="22"/>
                <w:szCs w:val="22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01653A" w:rsidRDefault="002372E7" w:rsidP="0063406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1653A">
              <w:rPr>
                <w:rFonts w:cstheme="minorHAnsi"/>
              </w:rPr>
              <w:t>szystkie wymagania z lekcji 9–13</w:t>
            </w:r>
          </w:p>
        </w:tc>
      </w:tr>
      <w:tr w:rsidR="002372E7" w:rsidRPr="00EF3D17" w:rsidTr="0063406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odróżnia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jedno- od wielokomórkowych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wymienia cechy umożliwiające zakwalifikowanie organizmu do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roślinnych oraz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zwierzęcych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zakłada hodowlę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8"/>
              </w:numPr>
              <w:tabs>
                <w:tab w:val="left" w:pos="248"/>
              </w:tabs>
              <w:ind w:left="-36" w:firstLine="0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 xml:space="preserve">określa  środowisko i tryb życia </w:t>
            </w:r>
            <w:proofErr w:type="spellStart"/>
            <w:r w:rsidRPr="002372E7">
              <w:rPr>
                <w:sz w:val="22"/>
                <w:szCs w:val="22"/>
              </w:rPr>
              <w:t>protistów</w:t>
            </w:r>
            <w:proofErr w:type="spellEnd"/>
            <w:r w:rsidRPr="002372E7">
              <w:rPr>
                <w:sz w:val="22"/>
                <w:szCs w:val="22"/>
              </w:rPr>
              <w:t>, podając przykłady organizmów</w:t>
            </w:r>
          </w:p>
          <w:p w:rsidR="002372E7" w:rsidRPr="002372E7" w:rsidRDefault="002372E7" w:rsidP="0063406E">
            <w:pPr>
              <w:widowControl w:val="0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wyjaśnia, dlaczego euglena zielona jest nazywana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organizmem </w:t>
            </w:r>
            <w:proofErr w:type="spellStart"/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zmiennożywnym</w:t>
            </w:r>
            <w:proofErr w:type="spellEnd"/>
          </w:p>
          <w:p w:rsidR="002372E7" w:rsidRPr="002372E7" w:rsidRDefault="002372E7" w:rsidP="0063406E">
            <w:pPr>
              <w:widowControl w:val="0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wybrane czynności życiowe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wskazuje cechy grupy organizmów tworzących królestwo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wskazuje elementy budowy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protista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wielokomórkowego na przykładzie morszczynu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przedstawia zasady profilaktyki chorób wywoływanych przez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>podaje cechy plechowców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hanging="36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dokonuje obserwacji mikroskopowej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  <w:color w:val="0033FF"/>
              </w:rPr>
              <w:t>–</w:t>
            </w:r>
            <w:r w:rsidRPr="002372E7">
              <w:rPr>
                <w:rFonts w:ascii="Times New Roman" w:hAnsi="Times New Roman" w:cs="Times New Roman"/>
              </w:rPr>
              <w:t xml:space="preserve"> budowy i sposobu poruszania </w:t>
            </w:r>
            <w:r w:rsidRPr="002372E7">
              <w:rPr>
                <w:rFonts w:ascii="Times New Roman" w:hAnsi="Times New Roman" w:cs="Times New Roman"/>
              </w:rPr>
              <w:lastRenderedPageBreak/>
              <w:t>się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drogi zakażenia chorobami wywoływanymi przez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wykazuje różnorodność budowy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(jednokomórkowe, wielokomórkowe) na </w:t>
            </w:r>
            <w:r w:rsidRPr="002372E7">
              <w:rPr>
                <w:rFonts w:ascii="Times New Roman" w:hAnsi="Times New Roman" w:cs="Times New Roman"/>
              </w:rPr>
              <w:lastRenderedPageBreak/>
              <w:t>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-2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porównuje tryb życia i budowę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protistówroślinopodobnych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i zwierzęcych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18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6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środowiska życia mchów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przeprowadza doświadczenie wykazujące zdolność mchów do chłonięcia wody, zgodnie z 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11"/>
              </w:numPr>
              <w:tabs>
                <w:tab w:val="left" w:pos="337"/>
              </w:tabs>
              <w:ind w:left="0" w:firstLine="53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wymienia charakterystyczne cechy mchów </w:t>
            </w:r>
            <w:r w:rsidRPr="002372E7">
              <w:rPr>
                <w:sz w:val="22"/>
                <w:szCs w:val="22"/>
              </w:rPr>
              <w:t>pozwalające na ich identyfikację wśród nieznanych organizmów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20. Paprociowe, widłakowe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 skrzypowe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12"/>
              </w:numPr>
              <w:tabs>
                <w:tab w:val="left" w:pos="263"/>
              </w:tabs>
              <w:ind w:left="0" w:hanging="19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wskazuje podobieństwa i różnice między paprociami, skrzypami i </w:t>
            </w:r>
            <w:bookmarkStart w:id="0" w:name="_GoBack"/>
            <w:bookmarkEnd w:id="0"/>
            <w:r w:rsidRPr="002372E7">
              <w:rPr>
                <w:sz w:val="22"/>
                <w:szCs w:val="22"/>
              </w:rPr>
              <w:t>widłakami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Default="002372E7" w:rsidP="0063406E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2372E7" w:rsidRPr="00EF3D17" w:rsidRDefault="002372E7" w:rsidP="0063406E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I sprawdzian z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2372E7" w:rsidRPr="00EF3D17" w:rsidRDefault="002372E7" w:rsidP="0063406E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7C5C08" w:rsidRDefault="002372E7" w:rsidP="0063406E">
            <w:pPr>
              <w:rPr>
                <w:rFonts w:cstheme="minorHAnsi"/>
              </w:rPr>
            </w:pPr>
          </w:p>
          <w:p w:rsidR="002372E7" w:rsidRPr="00EF3D17" w:rsidRDefault="002372E7" w:rsidP="0063406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C5C08">
              <w:rPr>
                <w:rFonts w:cstheme="minorHAnsi"/>
              </w:rPr>
              <w:t>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306"/>
        <w:gridCol w:w="2709"/>
        <w:gridCol w:w="2284"/>
        <w:gridCol w:w="2307"/>
        <w:gridCol w:w="2306"/>
      </w:tblGrid>
      <w:tr w:rsidR="002372E7" w:rsidRPr="00EF3D17" w:rsidTr="0063406E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klasyfikuje tkanki roślinne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 w:rsidR="002372E7" w:rsidRPr="00EF3D17" w:rsidRDefault="002372E7" w:rsidP="0063406E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Korzeń i pęd 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okrytonasiennych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opisuje budowę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rozpoznaje systemy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lastRenderedPageBreak/>
              <w:t xml:space="preserve">określa funkcje </w:t>
            </w:r>
            <w:r w:rsidRPr="002372E7">
              <w:rPr>
                <w:sz w:val="22"/>
                <w:szCs w:val="22"/>
              </w:rPr>
              <w:lastRenderedPageBreak/>
              <w:t>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uzasadnia, że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opisuje modyfikacje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korzeni, łodyg i liści jako adaptacje roślin okryto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01653A" w:rsidRDefault="002372E7" w:rsidP="0063406E">
            <w:pPr>
              <w:rPr>
                <w:rStyle w:val="FontStyle68"/>
                <w:b w:val="0"/>
              </w:rPr>
            </w:pPr>
            <w:r w:rsidRPr="0001653A">
              <w:rPr>
                <w:rStyle w:val="FontStyle68"/>
              </w:rPr>
              <w:lastRenderedPageBreak/>
              <w:t xml:space="preserve">26. </w:t>
            </w:r>
            <w:r w:rsidRPr="0001653A">
              <w:rPr>
                <w:b/>
              </w:rPr>
              <w:t>Budowa kwiatu. Rozmnażanie się okrytonasiennych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rolę poszczególnych elementów budowy kwiatu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01653A" w:rsidRDefault="002372E7" w:rsidP="0063406E">
            <w:pPr>
              <w:rPr>
                <w:b/>
              </w:rPr>
            </w:pPr>
            <w:r w:rsidRPr="0001653A">
              <w:rPr>
                <w:rStyle w:val="FontStyle68"/>
              </w:rPr>
              <w:t xml:space="preserve">27. </w:t>
            </w:r>
            <w:r w:rsidRPr="0001653A">
              <w:rPr>
                <w:b/>
              </w:rPr>
              <w:t>Nasiona i owoce okrytonasiennych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rolę poszczególnych części nasienia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2372E7" w:rsidRPr="005D6C6B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7B0E5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2E7" w:rsidRPr="007B0E57" w:rsidRDefault="00063EE5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2372E7" w:rsidRPr="007B0E57">
              <w:rPr>
                <w:rFonts w:asciiTheme="minorHAnsi" w:hAnsiTheme="minorHAnsi" w:cs="Calibri"/>
                <w:sz w:val="22"/>
                <w:szCs w:val="22"/>
              </w:rPr>
              <w:t>szystkie wymagania z lekcji 22–27</w:t>
            </w:r>
          </w:p>
        </w:tc>
      </w:tr>
    </w:tbl>
    <w:p w:rsidR="00974C71" w:rsidRDefault="00974C71"/>
    <w:sectPr w:rsidR="00974C71" w:rsidSect="005E1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6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152"/>
    <w:rsid w:val="00063EE5"/>
    <w:rsid w:val="002372E7"/>
    <w:rsid w:val="005E1152"/>
    <w:rsid w:val="005F01D1"/>
    <w:rsid w:val="00974C71"/>
    <w:rsid w:val="00E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E7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720" w:hanging="360"/>
      <w:contextualSpacing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237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tekstpodstawowykropatabele">
    <w:name w:val="tabela - tekst podstawowy kropa (tabele)"/>
    <w:basedOn w:val="Normalny"/>
    <w:uiPriority w:val="99"/>
    <w:rsid w:val="002372E7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  <w:lang w:eastAsia="en-US"/>
    </w:rPr>
  </w:style>
  <w:style w:type="character" w:customStyle="1" w:styleId="FontStyle68">
    <w:name w:val="Font Style68"/>
    <w:basedOn w:val="Domylnaczcionkaakapitu"/>
    <w:uiPriority w:val="99"/>
    <w:rsid w:val="002372E7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2372E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372E7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2E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2372E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28">
    <w:name w:val="Style28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72E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2162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2020-10-07T13:45:00Z</dcterms:created>
  <dcterms:modified xsi:type="dcterms:W3CDTF">2020-10-07T14:20:00Z</dcterms:modified>
</cp:coreProperties>
</file>